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FE" w:rsidRDefault="0000400B">
      <w:pPr>
        <w:widowControl/>
        <w:shd w:val="clear" w:color="auto" w:fill="FFFFFF"/>
        <w:spacing w:after="324" w:line="37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关于法国雷恩商学院</w:t>
      </w:r>
      <w:proofErr w:type="gramStart"/>
      <w:r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本硕项目</w:t>
      </w:r>
      <w:proofErr w:type="gramEnd"/>
      <w:r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的介绍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一、合作学校介绍</w:t>
      </w:r>
    </w:p>
    <w:p w:rsidR="00B728FE" w:rsidRDefault="0000400B">
      <w:pPr>
        <w:widowControl/>
        <w:shd w:val="clear" w:color="auto" w:fill="FFFFFF"/>
        <w:spacing w:after="324" w:line="252" w:lineRule="atLeast"/>
        <w:jc w:val="center"/>
        <w:rPr>
          <w:rFonts w:ascii="Times New Roman" w:eastAsia="宋体" w:hAnsi="Times New Roman" w:cs="Times New Roman"/>
          <w:b/>
          <w:color w:val="000000"/>
          <w:kern w:val="0"/>
          <w:sz w:val="22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2"/>
          <w:szCs w:val="21"/>
        </w:rPr>
        <w:t>雷恩高等商学院</w:t>
      </w:r>
    </w:p>
    <w:p w:rsidR="00B728FE" w:rsidRDefault="0000400B">
      <w:pPr>
        <w:widowControl/>
        <w:shd w:val="clear" w:color="auto" w:fill="FFFFFF"/>
        <w:spacing w:after="324" w:line="252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法国教育系统独特之处在于拥有“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Grandes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Ecoles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”（精英大学）体系，英美国家将其划入“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Top University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”水平。“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Grandes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Ecoles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”入学门槛高，分三类：商管类，工程类，政治类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，是法国高等商业人才、高级工程师和高级政府官员的摇篮。法国共有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250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所商业管理学院，其中只有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多所“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Grandes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Ecoles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du commerce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”精英商学院。</w:t>
      </w:r>
    </w:p>
    <w:p w:rsidR="00B728FE" w:rsidRDefault="0000400B">
      <w:pPr>
        <w:widowControl/>
        <w:shd w:val="clear" w:color="auto" w:fill="FFFFFF"/>
        <w:spacing w:after="324" w:line="252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雷恩商学院（又称雷恩高等商学院）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是其中极少数以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英语授课为特色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并可颁发博士学位的精英商学院。学院自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1990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年建校以来，坚持“全球化”发展战略，取得了卓越的成绩，成为法国精英商学院中排名上升最快的学院：</w:t>
      </w:r>
    </w:p>
    <w:p w:rsidR="00B728FE" w:rsidRDefault="0000400B">
      <w:pPr>
        <w:pStyle w:val="1"/>
        <w:widowControl/>
        <w:numPr>
          <w:ilvl w:val="0"/>
          <w:numId w:val="1"/>
        </w:numPr>
        <w:shd w:val="clear" w:color="auto" w:fill="FFFFFF"/>
        <w:spacing w:after="324" w:line="252" w:lineRule="atLeast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《金融时报》金融硕士排名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  2017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年全球第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位；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2016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全球第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45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位</w:t>
      </w:r>
    </w:p>
    <w:p w:rsidR="00B728FE" w:rsidRDefault="0000400B">
      <w:pPr>
        <w:pStyle w:val="1"/>
        <w:widowControl/>
        <w:numPr>
          <w:ilvl w:val="0"/>
          <w:numId w:val="1"/>
        </w:numPr>
        <w:shd w:val="clear" w:color="auto" w:fill="FFFFFF"/>
        <w:spacing w:after="324" w:line="252" w:lineRule="atLeast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《金融时报》管理学硕士排名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2017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年全球第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位；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2016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全球第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位</w:t>
      </w:r>
    </w:p>
    <w:p w:rsidR="00B728FE" w:rsidRDefault="0000400B">
      <w:pPr>
        <w:pStyle w:val="1"/>
        <w:widowControl/>
        <w:numPr>
          <w:ilvl w:val="0"/>
          <w:numId w:val="1"/>
        </w:numPr>
        <w:shd w:val="clear" w:color="auto" w:fill="FFFFFF"/>
        <w:spacing w:after="324" w:line="252" w:lineRule="atLeast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获得全球商学院领域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最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权威的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AACSB,AMBA,EQUIS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三大认证</w:t>
      </w:r>
    </w:p>
    <w:p w:rsidR="00B728FE" w:rsidRDefault="0000400B">
      <w:pPr>
        <w:pStyle w:val="1"/>
        <w:widowControl/>
        <w:numPr>
          <w:ilvl w:val="0"/>
          <w:numId w:val="1"/>
        </w:numPr>
        <w:shd w:val="clear" w:color="auto" w:fill="FFFFFF"/>
        <w:spacing w:after="324" w:line="252" w:lineRule="atLeast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近年《金融时报》就业全法第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位，全球第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17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位</w:t>
      </w:r>
    </w:p>
    <w:p w:rsidR="00B728FE" w:rsidRDefault="0000400B">
      <w:pPr>
        <w:pStyle w:val="1"/>
        <w:widowControl/>
        <w:numPr>
          <w:ilvl w:val="0"/>
          <w:numId w:val="1"/>
        </w:numPr>
        <w:shd w:val="clear" w:color="auto" w:fill="FFFFFF"/>
        <w:spacing w:after="324" w:line="252" w:lineRule="atLeast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《费加罗报》实习及就业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满意度全法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位</w:t>
      </w:r>
    </w:p>
    <w:p w:rsidR="00B728FE" w:rsidRDefault="0000400B">
      <w:pPr>
        <w:widowControl/>
        <w:shd w:val="clear" w:color="auto" w:fill="FFFFFF"/>
        <w:spacing w:after="324" w:line="252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雷恩商学院坐落在一个经济活跃的发达地区，学校位于法国西北部布列塔尼大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区的省会－雷恩市，一个生活舒适，安全的大学城，是法国最适合居住的城市之一。雷恩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Cs w:val="21"/>
        </w:rPr>
        <w:t>Atalante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科技园区是欧洲最大的电信技术教学与研究机构，这使雷恩在电子通信领域的发展中有着战略性的地理优势。目前，从雷恩到巴黎乘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高铁仅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小时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25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分钟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。坐飞机到伦敦只需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小时。</w:t>
      </w:r>
    </w:p>
    <w:p w:rsidR="00B728FE" w:rsidRDefault="0000400B">
      <w:pPr>
        <w:widowControl/>
        <w:shd w:val="clear" w:color="auto" w:fill="FFFFFF"/>
        <w:spacing w:after="324" w:line="252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学校“企业关系部”专注与优秀企业建立长期合作，拥有本校自己的招聘平台，每年向在校学生提供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5000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个企业就职机会，给学生提供企业名录和就业培训。学校也定期举办由合作企业参加的学生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-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企业面谈会，并开展个人职业技能发展课程。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黑体" w:eastAsia="黑体" w:hAnsi="黑体" w:cs="Times New Roman"/>
          <w:color w:val="7030A0"/>
          <w:kern w:val="0"/>
          <w:sz w:val="27"/>
          <w:szCs w:val="27"/>
        </w:rPr>
      </w:pP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二、项目介绍</w:t>
      </w:r>
    </w:p>
    <w:p w:rsidR="00B728FE" w:rsidRDefault="0000400B">
      <w:pPr>
        <w:widowControl/>
        <w:shd w:val="clear" w:color="auto" w:fill="FFFFFF"/>
        <w:spacing w:after="324" w:line="252" w:lineRule="atLeast"/>
        <w:rPr>
          <w:rFonts w:ascii="黑体" w:eastAsia="黑体" w:hAnsi="黑体" w:cs="Times New Roman"/>
          <w:color w:val="7030A0"/>
          <w:kern w:val="0"/>
          <w:sz w:val="27"/>
          <w:szCs w:val="27"/>
        </w:rPr>
      </w:pP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A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、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 xml:space="preserve"> 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“</w:t>
      </w:r>
      <w:r>
        <w:rPr>
          <w:rFonts w:ascii="黑体" w:eastAsia="黑体" w:hAnsi="黑体" w:cs="Times New Roman"/>
          <w:color w:val="7030A0"/>
          <w:kern w:val="0"/>
          <w:sz w:val="27"/>
          <w:szCs w:val="27"/>
        </w:rPr>
        <w:t>3+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2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”的</w:t>
      </w:r>
      <w:proofErr w:type="gramStart"/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本升硕合作</w:t>
      </w:r>
      <w:proofErr w:type="gramEnd"/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项目：</w:t>
      </w:r>
    </w:p>
    <w:p w:rsidR="00B728FE" w:rsidRDefault="0000400B">
      <w:pPr>
        <w:widowControl/>
        <w:shd w:val="clear" w:color="auto" w:fill="FFFFFF"/>
        <w:spacing w:after="324" w:line="252" w:lineRule="atLeas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lastRenderedPageBreak/>
        <w:t>项目采取全英文授课。第一年学习工商管理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BBA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学士课程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，在国内本科学士学位的基础上取得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双学士学位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。第二年学习一个专业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硕士课程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，并完成硕士企业实习和毕业论文，可取得相应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硕士学位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。</w:t>
      </w:r>
      <w:r>
        <w:rPr>
          <w:rFonts w:ascii="Times New Roman" w:eastAsia="宋体" w:hAnsi="Times New Roman" w:cs="Times New Roman"/>
          <w:b/>
          <w:color w:val="000000"/>
          <w:kern w:val="0"/>
          <w:szCs w:val="21"/>
        </w:rPr>
        <w:t> </w:t>
      </w:r>
    </w:p>
    <w:p w:rsidR="00B728FE" w:rsidRDefault="0000400B">
      <w:pPr>
        <w:pStyle w:val="2"/>
        <w:widowControl/>
        <w:numPr>
          <w:ilvl w:val="0"/>
          <w:numId w:val="2"/>
        </w:numPr>
        <w:shd w:val="clear" w:color="auto" w:fill="FFFFFF"/>
        <w:spacing w:after="324" w:line="252" w:lineRule="atLeast"/>
        <w:ind w:firstLineChars="0"/>
        <w:rPr>
          <w:b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所有费用（生活费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学费）：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约低于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万人民币</w:t>
      </w:r>
    </w:p>
    <w:p w:rsidR="00B728FE" w:rsidRDefault="0000400B">
      <w:pPr>
        <w:pStyle w:val="2"/>
        <w:widowControl/>
        <w:numPr>
          <w:ilvl w:val="0"/>
          <w:numId w:val="2"/>
        </w:numPr>
        <w:shd w:val="clear" w:color="auto" w:fill="FFFFFF"/>
        <w:spacing w:after="324" w:line="252" w:lineRule="atLeast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英语要求：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TOEFL </w:t>
      </w:r>
      <w:proofErr w:type="spellStart"/>
      <w:r>
        <w:rPr>
          <w:rFonts w:ascii="宋体" w:eastAsia="宋体" w:hAnsi="宋体" w:cs="Times New Roman"/>
          <w:color w:val="000000"/>
          <w:kern w:val="0"/>
          <w:szCs w:val="21"/>
        </w:rPr>
        <w:t>ibt</w:t>
      </w:r>
      <w:proofErr w:type="spellEnd"/>
      <w:r>
        <w:rPr>
          <w:rFonts w:ascii="宋体" w:eastAsia="宋体" w:hAnsi="宋体" w:cs="Times New Roman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≥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7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0 or IETLTS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≥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6.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0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or TOEIC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≥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7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00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（最晚签证前提供）</w:t>
      </w:r>
    </w:p>
    <w:p w:rsidR="00B728FE" w:rsidRDefault="0000400B">
      <w:pPr>
        <w:pStyle w:val="2"/>
        <w:widowControl/>
        <w:numPr>
          <w:ilvl w:val="0"/>
          <w:numId w:val="2"/>
        </w:numPr>
        <w:shd w:val="clear" w:color="auto" w:fill="FFFFFF"/>
        <w:spacing w:after="324" w:line="252" w:lineRule="atLeast"/>
        <w:ind w:firstLineChars="0"/>
        <w:rPr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硕士可选专业：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均为英语授课</w:t>
      </w:r>
    </w:p>
    <w:tbl>
      <w:tblPr>
        <w:tblStyle w:val="a7"/>
        <w:tblpPr w:leftFromText="180" w:rightFromText="180" w:vertAnchor="text" w:horzAnchor="page" w:tblpX="2173" w:tblpY="41"/>
        <w:tblW w:w="4503" w:type="dxa"/>
        <w:tblLayout w:type="fixed"/>
        <w:tblLook w:val="04A0" w:firstRow="1" w:lastRow="0" w:firstColumn="1" w:lastColumn="0" w:noHBand="0" w:noVBand="1"/>
      </w:tblPr>
      <w:tblGrid>
        <w:gridCol w:w="503"/>
        <w:gridCol w:w="744"/>
        <w:gridCol w:w="3256"/>
      </w:tblGrid>
      <w:tr w:rsidR="00B728FE">
        <w:trPr>
          <w:trHeight w:val="349"/>
        </w:trPr>
        <w:tc>
          <w:tcPr>
            <w:tcW w:w="50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</w:rPr>
              <w:t>1</w:t>
            </w:r>
          </w:p>
        </w:tc>
        <w:tc>
          <w:tcPr>
            <w:tcW w:w="744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256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国际市场营销</w:t>
            </w:r>
          </w:p>
        </w:tc>
      </w:tr>
      <w:tr w:rsidR="00B728FE">
        <w:trPr>
          <w:trHeight w:val="349"/>
        </w:trPr>
        <w:tc>
          <w:tcPr>
            <w:tcW w:w="50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</w:rPr>
              <w:t>2</w:t>
            </w:r>
          </w:p>
        </w:tc>
        <w:tc>
          <w:tcPr>
            <w:tcW w:w="744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256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会计、管理控制与审计</w:t>
            </w:r>
          </w:p>
        </w:tc>
      </w:tr>
      <w:tr w:rsidR="00B728FE">
        <w:trPr>
          <w:trHeight w:val="349"/>
        </w:trPr>
        <w:tc>
          <w:tcPr>
            <w:tcW w:w="50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</w:rPr>
              <w:t>3</w:t>
            </w:r>
          </w:p>
        </w:tc>
        <w:tc>
          <w:tcPr>
            <w:tcW w:w="744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256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国际商务谈判</w:t>
            </w:r>
          </w:p>
        </w:tc>
      </w:tr>
      <w:tr w:rsidR="00B728FE">
        <w:trPr>
          <w:trHeight w:val="349"/>
        </w:trPr>
        <w:tc>
          <w:tcPr>
            <w:tcW w:w="50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</w:rPr>
              <w:t>4</w:t>
            </w:r>
          </w:p>
        </w:tc>
        <w:tc>
          <w:tcPr>
            <w:tcW w:w="744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256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供应链管理</w:t>
            </w:r>
          </w:p>
        </w:tc>
      </w:tr>
      <w:tr w:rsidR="00B728FE">
        <w:trPr>
          <w:trHeight w:val="349"/>
        </w:trPr>
        <w:tc>
          <w:tcPr>
            <w:tcW w:w="50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</w:rPr>
              <w:t>5</w:t>
            </w:r>
          </w:p>
        </w:tc>
        <w:tc>
          <w:tcPr>
            <w:tcW w:w="744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256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国际金融</w:t>
            </w:r>
          </w:p>
        </w:tc>
      </w:tr>
      <w:tr w:rsidR="00B728FE">
        <w:trPr>
          <w:trHeight w:val="349"/>
        </w:trPr>
        <w:tc>
          <w:tcPr>
            <w:tcW w:w="50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</w:rPr>
              <w:t>6</w:t>
            </w:r>
          </w:p>
        </w:tc>
        <w:tc>
          <w:tcPr>
            <w:tcW w:w="744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256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运动、休闲和旅游管理</w:t>
            </w:r>
          </w:p>
        </w:tc>
      </w:tr>
      <w:tr w:rsidR="00B728FE">
        <w:trPr>
          <w:trHeight w:val="349"/>
        </w:trPr>
        <w:tc>
          <w:tcPr>
            <w:tcW w:w="50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</w:rPr>
              <w:t>7</w:t>
            </w:r>
          </w:p>
        </w:tc>
        <w:tc>
          <w:tcPr>
            <w:tcW w:w="744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256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传播与网络营销</w:t>
            </w:r>
          </w:p>
        </w:tc>
      </w:tr>
      <w:tr w:rsidR="00B728FE">
        <w:trPr>
          <w:trHeight w:val="349"/>
        </w:trPr>
        <w:tc>
          <w:tcPr>
            <w:tcW w:w="50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</w:rPr>
              <w:t>8</w:t>
            </w:r>
          </w:p>
        </w:tc>
        <w:tc>
          <w:tcPr>
            <w:tcW w:w="744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256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国际人力资源管理</w:t>
            </w:r>
          </w:p>
        </w:tc>
      </w:tr>
      <w:tr w:rsidR="00B728FE">
        <w:trPr>
          <w:trHeight w:val="349"/>
        </w:trPr>
        <w:tc>
          <w:tcPr>
            <w:tcW w:w="50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</w:rPr>
              <w:t>9</w:t>
            </w:r>
          </w:p>
        </w:tc>
        <w:tc>
          <w:tcPr>
            <w:tcW w:w="744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256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国际奢侈品及品牌管理</w:t>
            </w:r>
          </w:p>
        </w:tc>
      </w:tr>
    </w:tbl>
    <w:p w:rsidR="00B728FE" w:rsidRDefault="00B728FE">
      <w:pPr>
        <w:widowControl/>
        <w:shd w:val="clear" w:color="auto" w:fill="FFFFFF"/>
        <w:spacing w:after="324" w:line="252" w:lineRule="atLeast"/>
        <w:rPr>
          <w:b/>
          <w:color w:val="000000"/>
          <w:szCs w:val="21"/>
        </w:rPr>
      </w:pPr>
    </w:p>
    <w:p w:rsidR="00B728FE" w:rsidRDefault="00B728FE">
      <w:pPr>
        <w:widowControl/>
        <w:shd w:val="clear" w:color="auto" w:fill="FFFFFF"/>
        <w:spacing w:after="324" w:line="252" w:lineRule="atLeast"/>
        <w:rPr>
          <w:b/>
          <w:color w:val="000000"/>
          <w:szCs w:val="21"/>
        </w:rPr>
      </w:pPr>
    </w:p>
    <w:p w:rsidR="00B728FE" w:rsidRDefault="00B728FE">
      <w:pPr>
        <w:pStyle w:val="2"/>
        <w:widowControl/>
        <w:shd w:val="clear" w:color="auto" w:fill="FFFFFF"/>
        <w:spacing w:after="324" w:line="252" w:lineRule="atLeast"/>
        <w:ind w:left="420" w:firstLineChars="0" w:firstLine="0"/>
        <w:rPr>
          <w:b/>
          <w:color w:val="000000"/>
          <w:szCs w:val="21"/>
        </w:rPr>
      </w:pPr>
    </w:p>
    <w:p w:rsidR="00B728FE" w:rsidRDefault="00B728FE">
      <w:pPr>
        <w:widowControl/>
        <w:shd w:val="clear" w:color="auto" w:fill="FFFFFF"/>
        <w:spacing w:after="324" w:line="252" w:lineRule="atLeast"/>
        <w:rPr>
          <w:b/>
          <w:color w:val="7030A0"/>
          <w:szCs w:val="21"/>
        </w:rPr>
      </w:pPr>
    </w:p>
    <w:p w:rsidR="00B728FE" w:rsidRDefault="00B728FE">
      <w:pPr>
        <w:widowControl/>
        <w:shd w:val="clear" w:color="auto" w:fill="FFFFFF"/>
        <w:spacing w:after="324" w:line="252" w:lineRule="atLeast"/>
        <w:rPr>
          <w:b/>
          <w:color w:val="7030A0"/>
          <w:szCs w:val="21"/>
        </w:rPr>
      </w:pPr>
    </w:p>
    <w:p w:rsidR="00B728FE" w:rsidRDefault="00B728FE">
      <w:pPr>
        <w:widowControl/>
        <w:shd w:val="clear" w:color="auto" w:fill="FFFFFF"/>
        <w:spacing w:after="324" w:line="252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728FE" w:rsidRDefault="0000400B">
      <w:pPr>
        <w:widowControl/>
        <w:shd w:val="clear" w:color="auto" w:fill="FFFFFF"/>
        <w:spacing w:after="324" w:line="252" w:lineRule="atLeast"/>
        <w:rPr>
          <w:rFonts w:ascii="黑体" w:eastAsia="黑体" w:hAnsi="黑体" w:cs="Times New Roman"/>
          <w:color w:val="7030A0"/>
          <w:kern w:val="0"/>
          <w:sz w:val="27"/>
          <w:szCs w:val="27"/>
        </w:rPr>
      </w:pP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B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、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 xml:space="preserve"> 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“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3/</w:t>
      </w:r>
      <w:r>
        <w:rPr>
          <w:rFonts w:ascii="黑体" w:eastAsia="黑体" w:hAnsi="黑体" w:cs="Times New Roman"/>
          <w:color w:val="7030A0"/>
          <w:kern w:val="0"/>
          <w:sz w:val="27"/>
          <w:szCs w:val="27"/>
        </w:rPr>
        <w:t>3.5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/4</w:t>
      </w:r>
      <w:r>
        <w:rPr>
          <w:rFonts w:ascii="黑体" w:eastAsia="黑体" w:hAnsi="黑体" w:cs="Times New Roman"/>
          <w:color w:val="7030A0"/>
          <w:kern w:val="0"/>
          <w:sz w:val="27"/>
          <w:szCs w:val="27"/>
        </w:rPr>
        <w:t>+1.5</w:t>
      </w: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”</w:t>
      </w:r>
      <w:proofErr w:type="gramStart"/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本升硕合作</w:t>
      </w:r>
      <w:proofErr w:type="gramEnd"/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项目：</w:t>
      </w:r>
    </w:p>
    <w:p w:rsidR="00B728FE" w:rsidRDefault="0000400B">
      <w:pPr>
        <w:pStyle w:val="2"/>
        <w:widowControl/>
        <w:numPr>
          <w:ilvl w:val="0"/>
          <w:numId w:val="2"/>
        </w:numPr>
        <w:shd w:val="clear" w:color="auto" w:fill="FFFFFF"/>
        <w:spacing w:after="324" w:line="252" w:lineRule="atLeast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管理硕士采取全英文授课，学制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15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个月，其中课程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个月，实习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4-6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个月。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学习期间包括</w:t>
      </w:r>
      <w:r>
        <w:rPr>
          <w:rFonts w:ascii="Times New Roman" w:eastAsia="宋体" w:hAnsi="Times New Roman" w:cs="Times New Roman"/>
          <w:b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周的欧洲其他国家交流学习（</w:t>
      </w:r>
      <w:r>
        <w:rPr>
          <w:rFonts w:ascii="Times New Roman" w:eastAsia="宋体" w:hAnsi="Times New Roman" w:cs="Times New Roman"/>
          <w:b/>
          <w:color w:val="000000"/>
          <w:kern w:val="0"/>
          <w:szCs w:val="21"/>
        </w:rPr>
        <w:t>Winter Session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。可选择德国、西班牙、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比利时、英国、荷兰、意大利、爱尔兰等国的合作高校，包括荷兰阿姆斯特丹大学、爱尔兰都柏林大学等。交流内容包括：社会企业责任或国际战略管理课程学习，文化活动和企业参观等活动。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硕士学习期间，学校免费提供不同级别的法语必修课程。</w:t>
      </w:r>
    </w:p>
    <w:p w:rsidR="00B728FE" w:rsidRDefault="0000400B">
      <w:pPr>
        <w:pStyle w:val="2"/>
        <w:widowControl/>
        <w:shd w:val="clear" w:color="auto" w:fill="FFFFFF"/>
        <w:spacing w:after="324" w:line="252" w:lineRule="atLeast"/>
        <w:ind w:left="420" w:firstLineChars="0" w:firstLine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优秀的硕士生可以有机会在校申请双博士学位项目，研究方向广泛，合作学校如下：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雷恩商学院－荷兰阿姆斯特丹大学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br/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雷恩商学院－爱尔兰都柏林大学</w:t>
      </w:r>
    </w:p>
    <w:p w:rsidR="00B728FE" w:rsidRDefault="0000400B">
      <w:pPr>
        <w:pStyle w:val="2"/>
        <w:widowControl/>
        <w:numPr>
          <w:ilvl w:val="0"/>
          <w:numId w:val="2"/>
        </w:numPr>
        <w:shd w:val="clear" w:color="auto" w:fill="FFFFFF"/>
        <w:spacing w:after="324" w:line="252" w:lineRule="atLeast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所有费用（生活费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+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学费）：约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20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万人民币</w:t>
      </w:r>
    </w:p>
    <w:p w:rsidR="00B728FE" w:rsidRDefault="0000400B">
      <w:pPr>
        <w:pStyle w:val="2"/>
        <w:widowControl/>
        <w:numPr>
          <w:ilvl w:val="0"/>
          <w:numId w:val="2"/>
        </w:numPr>
        <w:shd w:val="clear" w:color="auto" w:fill="FFFFFF"/>
        <w:spacing w:after="324" w:line="252" w:lineRule="atLeast"/>
        <w:ind w:firstLineChars="0"/>
        <w:rPr>
          <w:rFonts w:ascii="宋体" w:eastAsia="宋体" w:hAnsi="宋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Times New Roman" w:hint="eastAsia"/>
          <w:color w:val="000000"/>
          <w:kern w:val="0"/>
          <w:szCs w:val="21"/>
        </w:rPr>
        <w:t>英语要求：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TOEFL </w:t>
      </w:r>
      <w:proofErr w:type="spellStart"/>
      <w:r>
        <w:rPr>
          <w:rFonts w:ascii="宋体" w:eastAsia="宋体" w:hAnsi="宋体" w:cs="Times New Roman"/>
          <w:color w:val="000000"/>
          <w:kern w:val="0"/>
          <w:szCs w:val="21"/>
        </w:rPr>
        <w:t>ibt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≥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80 or IETLTS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≥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6.5 or TOEIC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≥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宋体" w:eastAsia="宋体" w:hAnsi="宋体" w:cs="Times New Roman"/>
          <w:color w:val="000000"/>
          <w:kern w:val="0"/>
          <w:szCs w:val="21"/>
        </w:rPr>
        <w:t>750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。</w:t>
      </w:r>
    </w:p>
    <w:p w:rsidR="00B728FE" w:rsidRDefault="0000400B">
      <w:pPr>
        <w:pStyle w:val="2"/>
        <w:widowControl/>
        <w:shd w:val="clear" w:color="auto" w:fill="FFFFFF"/>
        <w:spacing w:after="324" w:line="252" w:lineRule="atLeast"/>
        <w:ind w:left="420" w:firstLineChars="0" w:firstLine="0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/>
          <w:color w:val="000000"/>
          <w:kern w:val="0"/>
          <w:szCs w:val="21"/>
        </w:rPr>
        <w:t>若英语成绩略低于官方要求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Times New Roman"/>
          <w:color w:val="000000"/>
          <w:kern w:val="0"/>
          <w:szCs w:val="21"/>
        </w:rPr>
        <w:t>IETLTS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6.0 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/</w:t>
      </w:r>
      <w:r>
        <w:rPr>
          <w:rFonts w:ascii="宋体" w:eastAsia="宋体" w:hAnsi="宋体" w:cs="Times New Roman"/>
          <w:color w:val="000000"/>
          <w:kern w:val="0"/>
          <w:szCs w:val="21"/>
        </w:rPr>
        <w:t>TOEFL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7</w:t>
      </w:r>
      <w:r>
        <w:rPr>
          <w:rFonts w:ascii="宋体" w:eastAsia="宋体" w:hAnsi="宋体" w:cs="Times New Roman"/>
          <w:color w:val="000000"/>
          <w:kern w:val="0"/>
          <w:szCs w:val="21"/>
        </w:rPr>
        <w:t>0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/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TOEIC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700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），需要注册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Cs w:val="21"/>
        </w:rPr>
        <w:t>雷恩高商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Cs w:val="21"/>
        </w:rPr>
        <w:t>online</w:t>
      </w:r>
      <w:r>
        <w:rPr>
          <w:rFonts w:ascii="宋体" w:eastAsia="宋体" w:hAnsi="宋体" w:cs="Times New Roman"/>
          <w:color w:val="000000"/>
          <w:kern w:val="0"/>
          <w:szCs w:val="21"/>
        </w:rPr>
        <w:t>强化英语课程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，方可办理签证</w:t>
      </w:r>
      <w:r>
        <w:rPr>
          <w:rFonts w:ascii="宋体" w:eastAsia="宋体" w:hAnsi="宋体" w:cs="Times New Roman"/>
          <w:color w:val="000000"/>
          <w:kern w:val="0"/>
          <w:szCs w:val="21"/>
        </w:rPr>
        <w:t>。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硕士毕业前需尽快通过英语考试。</w:t>
      </w:r>
    </w:p>
    <w:p w:rsidR="00B728FE" w:rsidRDefault="0000400B">
      <w:pPr>
        <w:pStyle w:val="2"/>
        <w:widowControl/>
        <w:shd w:val="clear" w:color="auto" w:fill="FFFFFF"/>
        <w:spacing w:after="324" w:line="252" w:lineRule="atLeast"/>
        <w:ind w:left="420" w:firstLineChars="0" w:firstLine="0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学生入学前均需参加商务管理强化必修课。</w:t>
      </w:r>
    </w:p>
    <w:p w:rsidR="00B728FE" w:rsidRDefault="0000400B">
      <w:pPr>
        <w:pStyle w:val="2"/>
        <w:widowControl/>
        <w:numPr>
          <w:ilvl w:val="0"/>
          <w:numId w:val="2"/>
        </w:numPr>
        <w:shd w:val="clear" w:color="auto" w:fill="FFFFFF"/>
        <w:spacing w:after="324" w:line="252" w:lineRule="atLeast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lastRenderedPageBreak/>
        <w:t>所有国际硕士专业：</w:t>
      </w:r>
    </w:p>
    <w:tbl>
      <w:tblPr>
        <w:tblStyle w:val="a7"/>
        <w:tblW w:w="5775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417"/>
      </w:tblGrid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b/>
                <w:kern w:val="24"/>
                <w:szCs w:val="20"/>
              </w:rPr>
            </w:pP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学位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b/>
                <w:kern w:val="24"/>
                <w:szCs w:val="20"/>
              </w:rPr>
            </w:pP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专</w:t>
            </w: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    </w:t>
            </w: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业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b/>
                <w:kern w:val="24"/>
                <w:szCs w:val="20"/>
              </w:rPr>
            </w:pP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语</w:t>
            </w:r>
            <w:r>
              <w:rPr>
                <w:rFonts w:ascii="Calibri" w:hAnsi="Calibri" w:cs="Arial"/>
                <w:b/>
                <w:kern w:val="24"/>
                <w:sz w:val="20"/>
                <w:szCs w:val="20"/>
              </w:rPr>
              <w:t>    </w:t>
            </w: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言</w:t>
            </w:r>
          </w:p>
        </w:tc>
      </w:tr>
      <w:tr w:rsidR="00B728FE">
        <w:trPr>
          <w:trHeight w:val="340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MA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国际商务硕士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国际市场营销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会计、管理控制与审计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国际商务谈判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供应链管理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国际金融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          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国际金融市场分析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运动、休闲和旅游管理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传播与网络营销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国际人力资源管理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可持续发展与生态创新管理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大数据与商务分析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国际奢侈品及品牌管理</w:t>
            </w: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（春秋</w:t>
            </w: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2</w:t>
            </w: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季）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全球商务管理</w:t>
            </w: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（春秋</w:t>
            </w: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2</w:t>
            </w:r>
            <w:r>
              <w:rPr>
                <w:rFonts w:ascii="Calibri" w:hAnsi="Calibri" w:cs="Arial" w:hint="eastAsia"/>
                <w:b/>
                <w:kern w:val="24"/>
                <w:sz w:val="20"/>
                <w:szCs w:val="20"/>
              </w:rPr>
              <w:t>季）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创新与创业管理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英法双语教学</w:t>
            </w:r>
          </w:p>
        </w:tc>
      </w:tr>
      <w:tr w:rsidR="00B728FE">
        <w:trPr>
          <w:trHeight w:val="349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文化与创新项目管理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英法双语教学</w:t>
            </w:r>
          </w:p>
        </w:tc>
      </w:tr>
      <w:tr w:rsidR="00B728FE">
        <w:trPr>
          <w:trHeight w:val="1088"/>
        </w:trPr>
        <w:tc>
          <w:tcPr>
            <w:tcW w:w="675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Cs w:val="20"/>
              </w:rPr>
            </w:pPr>
            <w:r>
              <w:rPr>
                <w:rFonts w:ascii="Calibri" w:hAnsi="Calibri" w:cs="Arial"/>
                <w:kern w:val="24"/>
                <w:sz w:val="20"/>
                <w:szCs w:val="20"/>
              </w:rPr>
              <w:t>MSc</w:t>
            </w:r>
          </w:p>
        </w:tc>
        <w:tc>
          <w:tcPr>
            <w:tcW w:w="3683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国际管理</w:t>
            </w:r>
            <w:r>
              <w:rPr>
                <w:rFonts w:ascii="Calibri" w:hAnsi="Calibri" w:cs="Arial" w:hint="eastAsia"/>
                <w:kern w:val="24"/>
              </w:rPr>
              <w:t>（</w:t>
            </w:r>
            <w:proofErr w:type="gramStart"/>
            <w:r>
              <w:rPr>
                <w:rFonts w:ascii="Calibri" w:hAnsi="Calibri" w:cs="Arial" w:hint="eastAsia"/>
                <w:kern w:val="24"/>
              </w:rPr>
              <w:t>六方向择</w:t>
            </w:r>
            <w:proofErr w:type="gramEnd"/>
            <w:r>
              <w:rPr>
                <w:rFonts w:ascii="Calibri" w:hAnsi="Calibri" w:cs="Arial" w:hint="eastAsia"/>
                <w:kern w:val="24"/>
              </w:rPr>
              <w:t>其一）</w:t>
            </w:r>
            <w:r>
              <w:rPr>
                <w:rFonts w:ascii="Calibri" w:hAnsi="Calibri" w:cs="Arial" w:hint="eastAsia"/>
                <w:b/>
                <w:kern w:val="24"/>
              </w:rPr>
              <w:t>仅春季</w:t>
            </w:r>
            <w:r>
              <w:rPr>
                <w:rFonts w:ascii="Calibri" w:hAnsi="Calibri" w:cs="Arial" w:hint="eastAsia"/>
                <w:kern w:val="24"/>
              </w:rPr>
              <w:t>：</w:t>
            </w:r>
            <w:r>
              <w:rPr>
                <w:rFonts w:ascii="Calibri" w:hAnsi="Calibri" w:cs="Arial" w:hint="eastAsia"/>
                <w:kern w:val="24"/>
              </w:rPr>
              <w:t xml:space="preserve"> </w:t>
            </w:r>
          </w:p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◆金融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◆国际市场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◆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人力资源</w:t>
            </w:r>
          </w:p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◆物流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◆创新管理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◆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网络营销</w:t>
            </w:r>
          </w:p>
        </w:tc>
        <w:tc>
          <w:tcPr>
            <w:tcW w:w="1417" w:type="dxa"/>
          </w:tcPr>
          <w:p w:rsidR="00B728FE" w:rsidRDefault="0000400B">
            <w:pPr>
              <w:textAlignment w:val="bottom"/>
              <w:rPr>
                <w:rFonts w:ascii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hAnsi="Calibri" w:cs="Arial" w:hint="eastAsia"/>
                <w:kern w:val="24"/>
                <w:sz w:val="20"/>
                <w:szCs w:val="20"/>
              </w:rPr>
              <w:t>英语教学</w:t>
            </w:r>
          </w:p>
        </w:tc>
      </w:tr>
    </w:tbl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黑体" w:eastAsia="黑体" w:hAnsi="黑体" w:cs="Times New Roman"/>
          <w:color w:val="7030A0"/>
          <w:kern w:val="0"/>
          <w:sz w:val="27"/>
          <w:szCs w:val="27"/>
        </w:rPr>
      </w:pP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三、学生收获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/>
          <w:noProof/>
          <w:color w:val="000000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1" name="图片 1" descr="https://a.gfx.ms/i_sa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a.gfx.ms/i_saf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多文化教学氛围：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91%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的教师来自于全球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30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多个不同国家；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53%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以上的学生来自于全球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70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多个国家，与全球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191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所大学建立合作伙伴联盟；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/>
          <w:noProof/>
          <w:color w:val="000000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2" name="图片 2" descr="https://a.gfx.ms/i_sa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a.gfx.ms/i_saf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长期坚持将教学课程与企业实际情况和时务相结合，学生的实习与就业位列商学院前茅；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/>
          <w:noProof/>
          <w:color w:val="000000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3" name="图片 3" descr="https://a.gfx.ms/i_sa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a.gfx.ms/i_saf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拥有发达的企业协作网络：定期举办企业招聘会及学生与企业见面会，开展创建简历及面试技巧的个人辅导；提供法国及外国的工作或实习信息。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/>
          <w:noProof/>
          <w:color w:val="000000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4" name="图片 4" descr="https://a.gfx.ms/i_sa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a.gfx.ms/i_saf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提供良好的外国学生接待服务：帮助寻找住房，协助办理行政手续（申请住房补助，银行账户，居留证等），帮助学生融入学院，等等。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/>
          <w:noProof/>
          <w:color w:val="000000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5" name="图片 5" descr="https://a.gfx.ms/i_sa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a.gfx.ms/i_saf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校园配备高科技的教学设备（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WIFI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，多媒体实验室，网上学习平台等），供法国学生及外国学生使用的内容丰富的资源中心。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黑体" w:eastAsia="黑体" w:hAnsi="黑体" w:cs="Times New Roman"/>
          <w:color w:val="7030A0"/>
          <w:kern w:val="0"/>
          <w:sz w:val="27"/>
          <w:szCs w:val="27"/>
        </w:rPr>
      </w:pP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lastRenderedPageBreak/>
        <w:t>四、申请时间及程序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雷恩商学院提前一年开始接受申请，</w:t>
      </w:r>
      <w:r>
        <w:rPr>
          <w:rFonts w:ascii="Arial" w:hAnsi="Arial" w:cs="Arial"/>
          <w:color w:val="000000"/>
          <w:szCs w:val="21"/>
        </w:rPr>
        <w:t>报名采取滚动申请制，先到先得。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法方报名截止时间：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 w:hint="eastAsia"/>
          <w:b/>
          <w:color w:val="000000"/>
          <w:szCs w:val="21"/>
        </w:rPr>
        <w:t>2018</w:t>
      </w:r>
      <w:r>
        <w:rPr>
          <w:rFonts w:ascii="Arial" w:hAnsi="Arial" w:cs="Arial" w:hint="eastAsia"/>
          <w:b/>
          <w:color w:val="000000"/>
          <w:szCs w:val="21"/>
        </w:rPr>
        <w:t>年</w:t>
      </w:r>
      <w:r>
        <w:rPr>
          <w:rFonts w:ascii="Arial" w:hAnsi="Arial" w:cs="Arial"/>
          <w:b/>
          <w:color w:val="000000"/>
          <w:szCs w:val="21"/>
        </w:rPr>
        <w:t>秋季入学：</w:t>
      </w:r>
      <w:r>
        <w:rPr>
          <w:rFonts w:ascii="Arial" w:hAnsi="Arial" w:cs="Arial" w:hint="eastAsia"/>
          <w:b/>
          <w:color w:val="000000"/>
          <w:szCs w:val="21"/>
        </w:rPr>
        <w:t>2018</w:t>
      </w:r>
      <w:r>
        <w:rPr>
          <w:rFonts w:ascii="Arial" w:hAnsi="Arial" w:cs="Arial"/>
          <w:b/>
          <w:color w:val="000000"/>
          <w:szCs w:val="21"/>
        </w:rPr>
        <w:t>年</w:t>
      </w:r>
      <w:r>
        <w:rPr>
          <w:rFonts w:ascii="Arial" w:hAnsi="Arial" w:cs="Arial" w:hint="eastAsia"/>
          <w:b/>
          <w:color w:val="000000"/>
          <w:szCs w:val="21"/>
        </w:rPr>
        <w:t>6</w:t>
      </w:r>
      <w:r>
        <w:rPr>
          <w:rFonts w:ascii="Arial" w:hAnsi="Arial" w:cs="Arial"/>
          <w:b/>
          <w:color w:val="000000"/>
          <w:szCs w:val="21"/>
        </w:rPr>
        <w:t>月</w:t>
      </w:r>
      <w:r>
        <w:rPr>
          <w:rFonts w:ascii="Arial" w:hAnsi="Arial" w:cs="Arial" w:hint="eastAsia"/>
          <w:b/>
          <w:color w:val="000000"/>
          <w:szCs w:val="21"/>
        </w:rPr>
        <w:t>中；</w:t>
      </w:r>
      <w:r>
        <w:rPr>
          <w:rFonts w:ascii="Arial" w:hAnsi="Arial" w:cs="Arial" w:hint="eastAsia"/>
          <w:b/>
          <w:color w:val="000000"/>
          <w:szCs w:val="21"/>
        </w:rPr>
        <w:t xml:space="preserve"> 2018</w:t>
      </w:r>
      <w:r>
        <w:rPr>
          <w:rFonts w:ascii="Arial" w:hAnsi="Arial" w:cs="Arial" w:hint="eastAsia"/>
          <w:b/>
          <w:color w:val="000000"/>
          <w:szCs w:val="21"/>
        </w:rPr>
        <w:t>年春季入学：</w:t>
      </w:r>
      <w:r>
        <w:rPr>
          <w:rFonts w:ascii="Arial" w:hAnsi="Arial" w:cs="Arial" w:hint="eastAsia"/>
          <w:b/>
          <w:color w:val="000000"/>
          <w:szCs w:val="21"/>
        </w:rPr>
        <w:t>2017</w:t>
      </w:r>
      <w:r>
        <w:rPr>
          <w:rFonts w:ascii="Arial" w:hAnsi="Arial" w:cs="Arial" w:hint="eastAsia"/>
          <w:b/>
          <w:color w:val="000000"/>
          <w:szCs w:val="21"/>
        </w:rPr>
        <w:t>年</w:t>
      </w:r>
      <w:r>
        <w:rPr>
          <w:rFonts w:ascii="Arial" w:hAnsi="Arial" w:cs="Arial" w:hint="eastAsia"/>
          <w:b/>
          <w:color w:val="000000"/>
          <w:szCs w:val="21"/>
        </w:rPr>
        <w:t>11</w:t>
      </w:r>
      <w:r>
        <w:rPr>
          <w:rFonts w:ascii="Arial" w:hAnsi="Arial" w:cs="Arial" w:hint="eastAsia"/>
          <w:b/>
          <w:color w:val="000000"/>
          <w:szCs w:val="21"/>
        </w:rPr>
        <w:t>月初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所有法方所需的电子版申请材料请尽早提交上海办事处，</w:t>
      </w:r>
      <w:r>
        <w:rPr>
          <w:rFonts w:ascii="Arial" w:hAnsi="Arial" w:cs="Arial"/>
          <w:color w:val="000000"/>
          <w:szCs w:val="21"/>
        </w:rPr>
        <w:t xml:space="preserve"> 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 w:hint="eastAsia"/>
          <w:b/>
          <w:color w:val="000000"/>
          <w:szCs w:val="21"/>
        </w:rPr>
        <w:t>申请材料清单如下：（所有材料均为英语版）</w:t>
      </w:r>
    </w:p>
    <w:p w:rsidR="00B728FE" w:rsidRDefault="0000400B">
      <w:pPr>
        <w:widowControl/>
        <w:shd w:val="clear" w:color="auto" w:fill="FFFFFF"/>
        <w:spacing w:after="324" w:line="298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1. 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个人简历</w:t>
      </w:r>
    </w:p>
    <w:p w:rsidR="00B728FE" w:rsidRDefault="0000400B">
      <w:pPr>
        <w:widowControl/>
        <w:shd w:val="clear" w:color="auto" w:fill="FFFFFF"/>
        <w:spacing w:after="324" w:line="298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2. 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Cs w:val="21"/>
        </w:rPr>
        <w:t>封老师（或实习单位领导）签名的推荐信</w:t>
      </w:r>
    </w:p>
    <w:p w:rsidR="00B728FE" w:rsidRDefault="0000400B">
      <w:pPr>
        <w:widowControl/>
        <w:shd w:val="clear" w:color="auto" w:fill="FFFFFF"/>
        <w:spacing w:after="324" w:line="298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3. 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之前的大学成绩单</w:t>
      </w:r>
    </w:p>
    <w:p w:rsidR="00B728FE" w:rsidRDefault="0000400B">
      <w:pPr>
        <w:widowControl/>
        <w:shd w:val="clear" w:color="auto" w:fill="FFFFFF"/>
        <w:spacing w:after="324" w:line="298" w:lineRule="atLeas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4. 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Cs w:val="21"/>
        </w:rPr>
        <w:t>雷恩高商的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Cs w:val="21"/>
        </w:rPr>
        <w:t>电子申请表格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参加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Cs w:val="21"/>
        </w:rPr>
        <w:t>雷恩高商的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Cs w:val="21"/>
        </w:rPr>
        <w:t>面试或入学评估，被有条件录取后，需确认预注册，同时准备英语考试。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英语考试成绩最晚在入学时间前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3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个月左右提供。</w:t>
      </w:r>
    </w:p>
    <w:p w:rsidR="00B728FE" w:rsidRDefault="0000400B">
      <w:pPr>
        <w:widowControl/>
        <w:shd w:val="clear" w:color="auto" w:fill="FFFFFF"/>
        <w:spacing w:after="324" w:line="252" w:lineRule="atLeast"/>
        <w:jc w:val="left"/>
        <w:rPr>
          <w:rFonts w:ascii="黑体" w:eastAsia="黑体" w:hAnsi="黑体" w:cs="Times New Roman"/>
          <w:color w:val="7030A0"/>
          <w:kern w:val="0"/>
          <w:sz w:val="27"/>
          <w:szCs w:val="27"/>
        </w:rPr>
      </w:pPr>
      <w:r>
        <w:rPr>
          <w:rFonts w:ascii="黑体" w:eastAsia="黑体" w:hAnsi="黑体" w:cs="Times New Roman" w:hint="eastAsia"/>
          <w:color w:val="7030A0"/>
          <w:kern w:val="0"/>
          <w:sz w:val="27"/>
          <w:szCs w:val="27"/>
        </w:rPr>
        <w:t>五、法国雷恩高等商学院国内咨询：</w:t>
      </w:r>
    </w:p>
    <w:p w:rsidR="00B728FE" w:rsidRDefault="0000400B">
      <w:pPr>
        <w:widowControl/>
        <w:wordWrap w:val="0"/>
        <w:spacing w:before="100" w:beforeAutospacing="1" w:after="100" w:afterAutospacing="1" w:line="300" w:lineRule="atLeast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电话</w:t>
      </w: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: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021-62761007/62778196</w:t>
      </w:r>
    </w:p>
    <w:p w:rsidR="00B728FE" w:rsidRDefault="0000400B">
      <w:pPr>
        <w:widowControl/>
        <w:wordWrap w:val="0"/>
        <w:spacing w:before="100" w:beforeAutospacing="1" w:after="100" w:afterAutospacing="1" w:line="300" w:lineRule="atLeast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color w:val="000000"/>
          <w:kern w:val="0"/>
          <w:szCs w:val="21"/>
        </w:rPr>
        <w:t>手机：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137-9541-5523 (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夏老师）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/ 139-1670-4463(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王老师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)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</w:t>
      </w:r>
    </w:p>
    <w:p w:rsidR="00B728FE" w:rsidRDefault="0000400B">
      <w:pPr>
        <w:pStyle w:val="ecxmsonormal"/>
        <w:shd w:val="clear" w:color="auto" w:fill="FFFFFF"/>
        <w:spacing w:line="298" w:lineRule="atLeast"/>
        <w:rPr>
          <w:rFonts w:cs="Times New Roman"/>
          <w:color w:val="000000"/>
          <w:sz w:val="21"/>
          <w:szCs w:val="21"/>
        </w:rPr>
      </w:pPr>
      <w:hyperlink r:id="rId8" w:history="1">
        <w:r>
          <w:rPr>
            <w:rFonts w:cs="Times New Roman"/>
            <w:b/>
            <w:color w:val="000000"/>
            <w:sz w:val="21"/>
            <w:szCs w:val="21"/>
          </w:rPr>
          <w:t>邮箱：</w:t>
        </w:r>
      </w:hyperlink>
      <w:hyperlink r:id="rId9" w:history="1">
        <w:r>
          <w:rPr>
            <w:rFonts w:cs="Times New Roman"/>
            <w:color w:val="000000"/>
            <w:sz w:val="21"/>
            <w:szCs w:val="21"/>
          </w:rPr>
          <w:t>xiayw32@163.com</w:t>
        </w:r>
      </w:hyperlink>
      <w:r>
        <w:rPr>
          <w:rFonts w:cs="Times New Roman" w:hint="eastAsia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/</w:t>
      </w:r>
      <w:r>
        <w:rPr>
          <w:rFonts w:cs="Times New Roman" w:hint="eastAsia"/>
          <w:sz w:val="21"/>
          <w:szCs w:val="21"/>
        </w:rPr>
        <w:t xml:space="preserve"> </w:t>
      </w:r>
      <w:hyperlink r:id="rId10" w:history="1">
        <w:r>
          <w:rPr>
            <w:rFonts w:cs="Times New Roman"/>
            <w:color w:val="000000"/>
            <w:sz w:val="21"/>
            <w:szCs w:val="21"/>
          </w:rPr>
          <w:t>wangxy076@163.com</w:t>
        </w:r>
      </w:hyperlink>
      <w:r>
        <w:rPr>
          <w:rFonts w:cs="Times New Roman"/>
          <w:color w:val="000000"/>
          <w:sz w:val="21"/>
          <w:szCs w:val="21"/>
        </w:rPr>
        <w:t>    </w:t>
      </w:r>
    </w:p>
    <w:sectPr w:rsidR="00B7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AA"/>
    <w:multiLevelType w:val="multilevel"/>
    <w:tmpl w:val="033822A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FD2249"/>
    <w:multiLevelType w:val="multilevel"/>
    <w:tmpl w:val="0BFD224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63"/>
    <w:rsid w:val="0000400B"/>
    <w:rsid w:val="0001013A"/>
    <w:rsid w:val="00010AE8"/>
    <w:rsid w:val="00042784"/>
    <w:rsid w:val="00044263"/>
    <w:rsid w:val="000B3896"/>
    <w:rsid w:val="00107786"/>
    <w:rsid w:val="001111F5"/>
    <w:rsid w:val="00112563"/>
    <w:rsid w:val="0013244E"/>
    <w:rsid w:val="00137570"/>
    <w:rsid w:val="00137BDC"/>
    <w:rsid w:val="00156344"/>
    <w:rsid w:val="001700A4"/>
    <w:rsid w:val="001731B4"/>
    <w:rsid w:val="00174AAB"/>
    <w:rsid w:val="0018090A"/>
    <w:rsid w:val="00196FAC"/>
    <w:rsid w:val="001B3520"/>
    <w:rsid w:val="001F384B"/>
    <w:rsid w:val="00216812"/>
    <w:rsid w:val="00226A31"/>
    <w:rsid w:val="00255F6C"/>
    <w:rsid w:val="00271CF7"/>
    <w:rsid w:val="00292127"/>
    <w:rsid w:val="002B0956"/>
    <w:rsid w:val="002B3DF2"/>
    <w:rsid w:val="002E05D7"/>
    <w:rsid w:val="002F75A4"/>
    <w:rsid w:val="00377B58"/>
    <w:rsid w:val="00383F74"/>
    <w:rsid w:val="0039202E"/>
    <w:rsid w:val="003A04CC"/>
    <w:rsid w:val="003A2A84"/>
    <w:rsid w:val="003A2EEF"/>
    <w:rsid w:val="003A62BB"/>
    <w:rsid w:val="003C2B2C"/>
    <w:rsid w:val="003D036C"/>
    <w:rsid w:val="003F3039"/>
    <w:rsid w:val="003F3C19"/>
    <w:rsid w:val="004219CD"/>
    <w:rsid w:val="004268C2"/>
    <w:rsid w:val="00434EC8"/>
    <w:rsid w:val="00440FEB"/>
    <w:rsid w:val="00464B96"/>
    <w:rsid w:val="00471CDD"/>
    <w:rsid w:val="00475E01"/>
    <w:rsid w:val="00477CDB"/>
    <w:rsid w:val="00497F59"/>
    <w:rsid w:val="004C5585"/>
    <w:rsid w:val="00511919"/>
    <w:rsid w:val="0053372F"/>
    <w:rsid w:val="00541B13"/>
    <w:rsid w:val="00541D38"/>
    <w:rsid w:val="00557CDD"/>
    <w:rsid w:val="0056209B"/>
    <w:rsid w:val="00584331"/>
    <w:rsid w:val="005930DC"/>
    <w:rsid w:val="005A0403"/>
    <w:rsid w:val="005A04BF"/>
    <w:rsid w:val="005B4459"/>
    <w:rsid w:val="005B7DAA"/>
    <w:rsid w:val="005C219B"/>
    <w:rsid w:val="005E301F"/>
    <w:rsid w:val="005F34E7"/>
    <w:rsid w:val="00607610"/>
    <w:rsid w:val="006128F0"/>
    <w:rsid w:val="00633D53"/>
    <w:rsid w:val="00640ADA"/>
    <w:rsid w:val="0065020B"/>
    <w:rsid w:val="00660E33"/>
    <w:rsid w:val="00665CAC"/>
    <w:rsid w:val="0067490E"/>
    <w:rsid w:val="006750BB"/>
    <w:rsid w:val="006B52F0"/>
    <w:rsid w:val="006C415C"/>
    <w:rsid w:val="006C4761"/>
    <w:rsid w:val="006C6665"/>
    <w:rsid w:val="006D414B"/>
    <w:rsid w:val="006F2817"/>
    <w:rsid w:val="006F5B2F"/>
    <w:rsid w:val="00704D3E"/>
    <w:rsid w:val="007264D2"/>
    <w:rsid w:val="007439F9"/>
    <w:rsid w:val="00744709"/>
    <w:rsid w:val="00776CEC"/>
    <w:rsid w:val="0078643F"/>
    <w:rsid w:val="007878B0"/>
    <w:rsid w:val="00797FC1"/>
    <w:rsid w:val="007C410D"/>
    <w:rsid w:val="007C7444"/>
    <w:rsid w:val="007E322B"/>
    <w:rsid w:val="007F29FA"/>
    <w:rsid w:val="007F5E3E"/>
    <w:rsid w:val="007F6DD5"/>
    <w:rsid w:val="008228B6"/>
    <w:rsid w:val="00824B07"/>
    <w:rsid w:val="00873070"/>
    <w:rsid w:val="00894AA1"/>
    <w:rsid w:val="008B26AA"/>
    <w:rsid w:val="008B2E6A"/>
    <w:rsid w:val="008D3D1A"/>
    <w:rsid w:val="008E5926"/>
    <w:rsid w:val="00926901"/>
    <w:rsid w:val="00927558"/>
    <w:rsid w:val="009464F3"/>
    <w:rsid w:val="00960425"/>
    <w:rsid w:val="00966EB3"/>
    <w:rsid w:val="009745BC"/>
    <w:rsid w:val="00985A05"/>
    <w:rsid w:val="009B7560"/>
    <w:rsid w:val="009C21DF"/>
    <w:rsid w:val="009C36F6"/>
    <w:rsid w:val="009E2B80"/>
    <w:rsid w:val="009F2290"/>
    <w:rsid w:val="00A04D52"/>
    <w:rsid w:val="00A306D8"/>
    <w:rsid w:val="00A315C7"/>
    <w:rsid w:val="00A64A48"/>
    <w:rsid w:val="00A6503F"/>
    <w:rsid w:val="00A67CB7"/>
    <w:rsid w:val="00A735F5"/>
    <w:rsid w:val="00A851DA"/>
    <w:rsid w:val="00A911E1"/>
    <w:rsid w:val="00AA27D9"/>
    <w:rsid w:val="00AA6D16"/>
    <w:rsid w:val="00AB6344"/>
    <w:rsid w:val="00AB634F"/>
    <w:rsid w:val="00AE5511"/>
    <w:rsid w:val="00AE6873"/>
    <w:rsid w:val="00AE6D14"/>
    <w:rsid w:val="00AF32E8"/>
    <w:rsid w:val="00B12F34"/>
    <w:rsid w:val="00B610D9"/>
    <w:rsid w:val="00B61F43"/>
    <w:rsid w:val="00B728FE"/>
    <w:rsid w:val="00B82FCF"/>
    <w:rsid w:val="00B85FE1"/>
    <w:rsid w:val="00B87689"/>
    <w:rsid w:val="00BB516A"/>
    <w:rsid w:val="00BD2025"/>
    <w:rsid w:val="00BE2202"/>
    <w:rsid w:val="00BF726E"/>
    <w:rsid w:val="00C24BB7"/>
    <w:rsid w:val="00C32806"/>
    <w:rsid w:val="00C32D51"/>
    <w:rsid w:val="00C46A4C"/>
    <w:rsid w:val="00C46E11"/>
    <w:rsid w:val="00CA1F97"/>
    <w:rsid w:val="00CC258D"/>
    <w:rsid w:val="00CC65A3"/>
    <w:rsid w:val="00CD6055"/>
    <w:rsid w:val="00CE7847"/>
    <w:rsid w:val="00D66E15"/>
    <w:rsid w:val="00D77685"/>
    <w:rsid w:val="00D97294"/>
    <w:rsid w:val="00D97D2B"/>
    <w:rsid w:val="00DA28B4"/>
    <w:rsid w:val="00DB5AA3"/>
    <w:rsid w:val="00DD49A5"/>
    <w:rsid w:val="00DD5D8F"/>
    <w:rsid w:val="00DE45A4"/>
    <w:rsid w:val="00DF0ADF"/>
    <w:rsid w:val="00E04F1A"/>
    <w:rsid w:val="00E254A5"/>
    <w:rsid w:val="00E26018"/>
    <w:rsid w:val="00E63639"/>
    <w:rsid w:val="00E8757F"/>
    <w:rsid w:val="00E92784"/>
    <w:rsid w:val="00E92D97"/>
    <w:rsid w:val="00EA23F8"/>
    <w:rsid w:val="00EB4A43"/>
    <w:rsid w:val="00EB74E3"/>
    <w:rsid w:val="00EE60AB"/>
    <w:rsid w:val="00F14710"/>
    <w:rsid w:val="00F32064"/>
    <w:rsid w:val="00F65A63"/>
    <w:rsid w:val="00F67C03"/>
    <w:rsid w:val="00F75471"/>
    <w:rsid w:val="00F81568"/>
    <w:rsid w:val="00FB0D0B"/>
    <w:rsid w:val="00FD15DE"/>
    <w:rsid w:val="00FD3C63"/>
    <w:rsid w:val="00FE0355"/>
    <w:rsid w:val="00FE2EB1"/>
    <w:rsid w:val="00FF1CE8"/>
    <w:rsid w:val="00FF401D"/>
    <w:rsid w:val="00FF51CC"/>
    <w:rsid w:val="215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9%82%AE%E7%AE%B1%EF%BC%9Aameliayao@live.cn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angxy076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iayw32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rennes</dc:creator>
  <cp:lastModifiedBy>klo</cp:lastModifiedBy>
  <cp:revision>2</cp:revision>
  <dcterms:created xsi:type="dcterms:W3CDTF">2017-11-07T01:54:00Z</dcterms:created>
  <dcterms:modified xsi:type="dcterms:W3CDTF">2017-11-07T01:54:00Z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